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254" w:rsidRPr="001A1254" w:rsidRDefault="001A1254" w:rsidP="001A1254">
      <w:pPr>
        <w:shd w:val="clear" w:color="auto" w:fill="F5F5F5"/>
        <w:spacing w:after="0" w:line="240" w:lineRule="auto"/>
        <w:ind w:left="450"/>
        <w:rPr>
          <w:rFonts w:ascii="Arial" w:eastAsia="Times New Roman" w:hAnsi="Arial" w:cs="Arial"/>
          <w:color w:val="000000"/>
          <w:sz w:val="20"/>
          <w:szCs w:val="20"/>
          <w:lang w:eastAsia="ru-RU"/>
        </w:rPr>
      </w:pPr>
      <w:r w:rsidRPr="001A1254">
        <w:rPr>
          <w:rFonts w:ascii="Arial" w:eastAsia="Times New Roman" w:hAnsi="Arial" w:cs="Arial"/>
          <w:color w:val="000000"/>
          <w:sz w:val="20"/>
          <w:szCs w:val="20"/>
          <w:lang w:eastAsia="ru-RU"/>
        </w:rPr>
        <w:fldChar w:fldCharType="begin"/>
      </w:r>
      <w:r w:rsidRPr="001A1254">
        <w:rPr>
          <w:rFonts w:ascii="Arial" w:eastAsia="Times New Roman" w:hAnsi="Arial" w:cs="Arial"/>
          <w:color w:val="000000"/>
          <w:sz w:val="20"/>
          <w:szCs w:val="20"/>
          <w:lang w:eastAsia="ru-RU"/>
        </w:rPr>
        <w:instrText xml:space="preserve"> HYPERLINK "http://www.consultant.ru/document/cons_doc_LAW_108546/" \t "_blank" </w:instrText>
      </w:r>
      <w:r w:rsidRPr="001A1254">
        <w:rPr>
          <w:rFonts w:ascii="Arial" w:eastAsia="Times New Roman" w:hAnsi="Arial" w:cs="Arial"/>
          <w:color w:val="000000"/>
          <w:sz w:val="20"/>
          <w:szCs w:val="20"/>
          <w:lang w:eastAsia="ru-RU"/>
        </w:rPr>
        <w:fldChar w:fldCharType="separate"/>
      </w:r>
      <w:r w:rsidRPr="001A1254">
        <w:rPr>
          <w:rFonts w:ascii="Times New Roman" w:eastAsia="Times New Roman" w:hAnsi="Times New Roman" w:cs="Times New Roman"/>
          <w:b/>
          <w:bCs/>
          <w:color w:val="336699"/>
          <w:sz w:val="27"/>
          <w:szCs w:val="27"/>
          <w:lang w:eastAsia="ru-RU"/>
        </w:rPr>
        <w:br/>
      </w:r>
      <w:r w:rsidRPr="001A1254">
        <w:rPr>
          <w:rFonts w:ascii="Times New Roman" w:eastAsia="Times New Roman" w:hAnsi="Times New Roman" w:cs="Times New Roman"/>
          <w:b/>
          <w:bCs/>
          <w:color w:val="336699"/>
          <w:sz w:val="27"/>
          <w:szCs w:val="27"/>
          <w:u w:val="single"/>
          <w:lang w:eastAsia="ru-RU"/>
        </w:rPr>
        <w:t>Федеральный закон РФ от 28.12.2010 г. № 390 — ФЗ «О безопасности»</w:t>
      </w:r>
      <w:r w:rsidRPr="001A1254">
        <w:rPr>
          <w:rFonts w:ascii="Arial" w:eastAsia="Times New Roman" w:hAnsi="Arial" w:cs="Arial"/>
          <w:color w:val="000000"/>
          <w:sz w:val="20"/>
          <w:szCs w:val="20"/>
          <w:lang w:eastAsia="ru-RU"/>
        </w:rPr>
        <w:fldChar w:fldCharType="end"/>
      </w:r>
    </w:p>
    <w:p w:rsidR="001A1254" w:rsidRPr="001A1254" w:rsidRDefault="001A1254" w:rsidP="001A1254">
      <w:pPr>
        <w:numPr>
          <w:ilvl w:val="0"/>
          <w:numId w:val="1"/>
        </w:numPr>
        <w:shd w:val="clear" w:color="auto" w:fill="F5F5F5"/>
        <w:spacing w:after="0" w:line="240" w:lineRule="auto"/>
        <w:ind w:left="450"/>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w:t>
      </w:r>
      <w:hyperlink r:id="rId5" w:tgtFrame="_blank" w:history="1">
        <w:r w:rsidRPr="001A1254">
          <w:rPr>
            <w:rFonts w:ascii="Times New Roman" w:eastAsia="Times New Roman" w:hAnsi="Times New Roman" w:cs="Times New Roman"/>
            <w:b/>
            <w:bCs/>
            <w:color w:val="336699"/>
            <w:sz w:val="27"/>
            <w:szCs w:val="27"/>
            <w:u w:val="single"/>
            <w:lang w:eastAsia="ru-RU"/>
          </w:rPr>
          <w:t>Федеральный закон от 29.12.2010 № 436-ФЗ</w:t>
        </w:r>
      </w:hyperlink>
      <w:r w:rsidRPr="001A1254">
        <w:rPr>
          <w:rFonts w:ascii="Times New Roman" w:eastAsia="Times New Roman" w:hAnsi="Times New Roman" w:cs="Times New Roman"/>
          <w:color w:val="000000"/>
          <w:sz w:val="27"/>
          <w:szCs w:val="27"/>
          <w:lang w:eastAsia="ru-RU"/>
        </w:rPr>
        <w:t> «О защите детей от информации, причиняющей вред их здоровью и развитию»</w:t>
      </w:r>
    </w:p>
    <w:p w:rsidR="001A1254" w:rsidRPr="001A1254" w:rsidRDefault="001A1254" w:rsidP="001A1254">
      <w:pPr>
        <w:numPr>
          <w:ilvl w:val="0"/>
          <w:numId w:val="1"/>
        </w:numPr>
        <w:shd w:val="clear" w:color="auto" w:fill="F5F5F5"/>
        <w:spacing w:after="0" w:line="240" w:lineRule="auto"/>
        <w:ind w:left="450"/>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w:t>
      </w:r>
      <w:hyperlink r:id="rId6" w:tgtFrame="_blank" w:history="1">
        <w:r w:rsidRPr="001A1254">
          <w:rPr>
            <w:rFonts w:ascii="Times New Roman" w:eastAsia="Times New Roman" w:hAnsi="Times New Roman" w:cs="Times New Roman"/>
            <w:b/>
            <w:bCs/>
            <w:color w:val="336699"/>
            <w:sz w:val="27"/>
            <w:szCs w:val="27"/>
            <w:u w:val="single"/>
            <w:lang w:eastAsia="ru-RU"/>
          </w:rPr>
          <w:t>Федеральный закон от 27.07.2006 № 152-ФЗ</w:t>
        </w:r>
      </w:hyperlink>
      <w:r w:rsidRPr="001A1254">
        <w:rPr>
          <w:rFonts w:ascii="Times New Roman" w:eastAsia="Times New Roman" w:hAnsi="Times New Roman" w:cs="Times New Roman"/>
          <w:color w:val="000000"/>
          <w:sz w:val="27"/>
          <w:szCs w:val="27"/>
          <w:lang w:eastAsia="ru-RU"/>
        </w:rPr>
        <w:t> «О персональных данных»</w:t>
      </w:r>
    </w:p>
    <w:p w:rsidR="001A1254" w:rsidRPr="001A1254" w:rsidRDefault="001A1254" w:rsidP="001A1254">
      <w:pPr>
        <w:numPr>
          <w:ilvl w:val="0"/>
          <w:numId w:val="1"/>
        </w:numPr>
        <w:shd w:val="clear" w:color="auto" w:fill="F5F5F5"/>
        <w:spacing w:after="0" w:line="240" w:lineRule="auto"/>
        <w:ind w:left="450"/>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w:t>
      </w:r>
      <w:hyperlink r:id="rId7" w:tgtFrame="_blank" w:history="1">
        <w:r w:rsidRPr="001A1254">
          <w:rPr>
            <w:rFonts w:ascii="Times New Roman" w:eastAsia="Times New Roman" w:hAnsi="Times New Roman" w:cs="Times New Roman"/>
            <w:b/>
            <w:bCs/>
            <w:color w:val="336699"/>
            <w:sz w:val="27"/>
            <w:szCs w:val="27"/>
            <w:u w:val="single"/>
            <w:lang w:eastAsia="ru-RU"/>
          </w:rPr>
          <w:t>Федеральный закон от 27.07.2006 № 149-ФЗ</w:t>
        </w:r>
      </w:hyperlink>
      <w:r w:rsidRPr="001A1254">
        <w:rPr>
          <w:rFonts w:ascii="Times New Roman" w:eastAsia="Times New Roman" w:hAnsi="Times New Roman" w:cs="Times New Roman"/>
          <w:color w:val="000000"/>
          <w:sz w:val="27"/>
          <w:szCs w:val="27"/>
          <w:lang w:eastAsia="ru-RU"/>
        </w:rPr>
        <w:t> «Об информации, информационных технологиях и о защите информации»</w:t>
      </w:r>
    </w:p>
    <w:p w:rsidR="001A1254" w:rsidRPr="001A1254" w:rsidRDefault="001A1254" w:rsidP="001A1254">
      <w:pPr>
        <w:numPr>
          <w:ilvl w:val="0"/>
          <w:numId w:val="1"/>
        </w:numPr>
        <w:shd w:val="clear" w:color="auto" w:fill="F5F5F5"/>
        <w:spacing w:after="0" w:line="240" w:lineRule="auto"/>
        <w:ind w:left="450"/>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w:t>
      </w:r>
      <w:hyperlink r:id="rId8" w:tgtFrame="_blank" w:history="1">
        <w:r w:rsidRPr="001A1254">
          <w:rPr>
            <w:rFonts w:ascii="Times New Roman" w:eastAsia="Times New Roman" w:hAnsi="Times New Roman" w:cs="Times New Roman"/>
            <w:b/>
            <w:bCs/>
            <w:color w:val="336699"/>
            <w:sz w:val="27"/>
            <w:szCs w:val="27"/>
            <w:u w:val="single"/>
            <w:lang w:eastAsia="ru-RU"/>
          </w:rPr>
          <w:t>Приказ Минкомсвязи России от 16.06.2014 № 161</w:t>
        </w:r>
      </w:hyperlink>
      <w:r w:rsidRPr="001A1254">
        <w:rPr>
          <w:rFonts w:ascii="Times New Roman" w:eastAsia="Times New Roman" w:hAnsi="Times New Roman" w:cs="Times New Roman"/>
          <w:color w:val="000000"/>
          <w:sz w:val="27"/>
          <w:szCs w:val="27"/>
          <w:lang w:eastAsia="ru-RU"/>
        </w:rPr>
        <w:t>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p>
    <w:p w:rsidR="001A1254" w:rsidRPr="001A1254" w:rsidRDefault="001A1254" w:rsidP="001A1254">
      <w:pPr>
        <w:numPr>
          <w:ilvl w:val="0"/>
          <w:numId w:val="1"/>
        </w:numPr>
        <w:shd w:val="clear" w:color="auto" w:fill="F5F5F5"/>
        <w:spacing w:after="0" w:line="240" w:lineRule="auto"/>
        <w:ind w:left="450"/>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w:t>
      </w:r>
      <w:hyperlink r:id="rId9" w:tgtFrame="_blank" w:history="1">
        <w:r w:rsidRPr="001A1254">
          <w:rPr>
            <w:rFonts w:ascii="Times New Roman" w:eastAsia="Times New Roman" w:hAnsi="Times New Roman" w:cs="Times New Roman"/>
            <w:b/>
            <w:bCs/>
            <w:color w:val="336699"/>
            <w:sz w:val="27"/>
            <w:szCs w:val="27"/>
            <w:u w:val="single"/>
            <w:lang w:eastAsia="ru-RU"/>
          </w:rPr>
          <w:t>Письмо Минобрнауки России от 28.04.2014 № ДЛ-115/03</w:t>
        </w:r>
      </w:hyperlink>
      <w:r w:rsidRPr="001A1254">
        <w:rPr>
          <w:rFonts w:ascii="Times New Roman" w:eastAsia="Times New Roman" w:hAnsi="Times New Roman" w:cs="Times New Roman"/>
          <w:color w:val="000000"/>
          <w:sz w:val="27"/>
          <w:szCs w:val="27"/>
          <w:lang w:eastAsia="ru-RU"/>
        </w:rPr>
        <w:t> «О направлении методических материалов для обеспечения информационной безопасности детей при использовании ресурсов сети Интернет»</w:t>
      </w:r>
    </w:p>
    <w:p w:rsidR="001A1254" w:rsidRPr="001A1254" w:rsidRDefault="001A1254" w:rsidP="001A1254">
      <w:pPr>
        <w:numPr>
          <w:ilvl w:val="0"/>
          <w:numId w:val="1"/>
        </w:numPr>
        <w:shd w:val="clear" w:color="auto" w:fill="F5F5F5"/>
        <w:spacing w:after="0" w:line="240" w:lineRule="auto"/>
        <w:ind w:left="450"/>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w:t>
      </w:r>
      <w:hyperlink r:id="rId10" w:tgtFrame="_blank" w:history="1">
        <w:r w:rsidRPr="001A1254">
          <w:rPr>
            <w:rFonts w:ascii="Times New Roman" w:eastAsia="Times New Roman" w:hAnsi="Times New Roman" w:cs="Times New Roman"/>
            <w:b/>
            <w:bCs/>
            <w:color w:val="336699"/>
            <w:sz w:val="27"/>
            <w:szCs w:val="27"/>
            <w:u w:val="single"/>
            <w:lang w:eastAsia="ru-RU"/>
          </w:rPr>
          <w:t>Письмо Минобрнауки России от 14.05.2018 № 08-1184 «О направлении информации»</w:t>
        </w:r>
      </w:hyperlink>
      <w:r w:rsidRPr="001A1254">
        <w:rPr>
          <w:rFonts w:ascii="Times New Roman" w:eastAsia="Times New Roman" w:hAnsi="Times New Roman" w:cs="Times New Roman"/>
          <w:color w:val="000000"/>
          <w:sz w:val="27"/>
          <w:szCs w:val="27"/>
          <w:lang w:eastAsia="ru-RU"/>
        </w:rPr>
        <w:t>(вместе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1A1254" w:rsidRPr="001A1254" w:rsidRDefault="001A1254" w:rsidP="001A1254">
      <w:pPr>
        <w:numPr>
          <w:ilvl w:val="0"/>
          <w:numId w:val="1"/>
        </w:numPr>
        <w:shd w:val="clear" w:color="auto" w:fill="F5F5F5"/>
        <w:spacing w:after="0" w:line="240" w:lineRule="auto"/>
        <w:ind w:left="450"/>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w:t>
      </w:r>
      <w:hyperlink r:id="rId11" w:tgtFrame="_blank" w:history="1">
        <w:r w:rsidRPr="001A1254">
          <w:rPr>
            <w:rFonts w:ascii="Times New Roman" w:eastAsia="Times New Roman" w:hAnsi="Times New Roman" w:cs="Times New Roman"/>
            <w:b/>
            <w:bCs/>
            <w:color w:val="336699"/>
            <w:sz w:val="27"/>
            <w:szCs w:val="27"/>
            <w:u w:val="single"/>
            <w:lang w:eastAsia="ru-RU"/>
          </w:rPr>
          <w:t xml:space="preserve">Письмо </w:t>
        </w:r>
        <w:proofErr w:type="spellStart"/>
        <w:r w:rsidRPr="001A1254">
          <w:rPr>
            <w:rFonts w:ascii="Times New Roman" w:eastAsia="Times New Roman" w:hAnsi="Times New Roman" w:cs="Times New Roman"/>
            <w:b/>
            <w:bCs/>
            <w:color w:val="336699"/>
            <w:sz w:val="27"/>
            <w:szCs w:val="27"/>
            <w:u w:val="single"/>
            <w:lang w:eastAsia="ru-RU"/>
          </w:rPr>
          <w:t>Минпросвещения</w:t>
        </w:r>
        <w:proofErr w:type="spellEnd"/>
        <w:r w:rsidRPr="001A1254">
          <w:rPr>
            <w:rFonts w:ascii="Times New Roman" w:eastAsia="Times New Roman" w:hAnsi="Times New Roman" w:cs="Times New Roman"/>
            <w:b/>
            <w:bCs/>
            <w:color w:val="336699"/>
            <w:sz w:val="27"/>
            <w:szCs w:val="27"/>
            <w:u w:val="single"/>
            <w:lang w:eastAsia="ru-RU"/>
          </w:rPr>
          <w:t xml:space="preserve"> </w:t>
        </w:r>
        <w:proofErr w:type="gramStart"/>
        <w:r w:rsidRPr="001A1254">
          <w:rPr>
            <w:rFonts w:ascii="Times New Roman" w:eastAsia="Times New Roman" w:hAnsi="Times New Roman" w:cs="Times New Roman"/>
            <w:b/>
            <w:bCs/>
            <w:color w:val="336699"/>
            <w:sz w:val="27"/>
            <w:szCs w:val="27"/>
            <w:u w:val="single"/>
            <w:lang w:eastAsia="ru-RU"/>
          </w:rPr>
          <w:t>России  от</w:t>
        </w:r>
        <w:proofErr w:type="gramEnd"/>
        <w:r w:rsidRPr="001A1254">
          <w:rPr>
            <w:rFonts w:ascii="Times New Roman" w:eastAsia="Times New Roman" w:hAnsi="Times New Roman" w:cs="Times New Roman"/>
            <w:b/>
            <w:bCs/>
            <w:color w:val="336699"/>
            <w:sz w:val="27"/>
            <w:szCs w:val="27"/>
            <w:u w:val="single"/>
            <w:lang w:eastAsia="ru-RU"/>
          </w:rPr>
          <w:t xml:space="preserve"> 29.03.2019 г. № 03-393 </w:t>
        </w:r>
      </w:hyperlink>
      <w:r w:rsidRPr="001A1254">
        <w:rPr>
          <w:rFonts w:ascii="Times New Roman" w:eastAsia="Times New Roman" w:hAnsi="Times New Roman" w:cs="Times New Roman"/>
          <w:color w:val="000000"/>
          <w:sz w:val="27"/>
          <w:szCs w:val="27"/>
          <w:lang w:eastAsia="ru-RU"/>
        </w:rPr>
        <w:t>"О методических рекомендациях по реализации мер, направленных на обеспечение безопасности детей в сети "Интернет" (См. в приложениях)</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7"/>
          <w:szCs w:val="27"/>
          <w:lang w:eastAsia="ru-RU"/>
        </w:rPr>
        <w:t xml:space="preserve">    </w:t>
      </w:r>
      <w:r w:rsidRPr="001A1254">
        <w:rPr>
          <w:rFonts w:ascii="Times New Roman" w:eastAsia="Times New Roman" w:hAnsi="Times New Roman" w:cs="Times New Roman"/>
          <w:color w:val="000000"/>
          <w:sz w:val="27"/>
          <w:szCs w:val="27"/>
          <w:lang w:eastAsia="ru-RU"/>
        </w:rPr>
        <w:t xml:space="preserve"> В состав законодательства по обеспечению информационной безопасности включаются федеральные законы, подзаконные нормативные правовые акты федеральных органов исполнительной власти, законы и подзаконные нормативные правовые акты субъектов Российской Федерации.</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К числу наиболее значимых нормативных правовые актов в области обеспечения информационной безопасности относятся следующие законы и подзаконные акты.</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Конституция Российской Федерации</w:t>
      </w:r>
      <w:r>
        <w:rPr>
          <w:rFonts w:ascii="Times New Roman" w:eastAsia="Times New Roman" w:hAnsi="Times New Roman" w:cs="Times New Roman"/>
          <w:color w:val="000000"/>
          <w:sz w:val="27"/>
          <w:szCs w:val="27"/>
          <w:lang w:eastAsia="ru-RU"/>
        </w:rPr>
        <w:t xml:space="preserve"> </w:t>
      </w:r>
      <w:r w:rsidRPr="001A1254">
        <w:rPr>
          <w:rFonts w:ascii="Times New Roman" w:eastAsia="Times New Roman" w:hAnsi="Times New Roman" w:cs="Times New Roman"/>
          <w:color w:val="000000"/>
          <w:sz w:val="27"/>
          <w:szCs w:val="27"/>
          <w:lang w:eastAsia="ru-RU"/>
        </w:rPr>
        <w:t>содержит нормы, которые определяют правовые основы информационной безопасности: основные положения правового статуса субъектов информационных отношений, принципы информационной безопасности (законности, уважения прав, баланс интересов личности, общества и государства), конституционный статус государственных органов, обеспечивающих информационную безопасность и др. Например, к таким положениям относятся нормы, которые устанавливают право каждого субъекта свободно искать, получать, передавать, производить и распространять информацию любым законным способом (п.4.ст. 29).</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Это конституционное право, устанавливающее возможность удовлетворения интересов личности и общества сбалансировано необходимостью их ограничения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(п.3.ст.55).</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Конституция Российской Федерации устанавливает запрет на доступ к информации о частной жизни и передачу сообщений по линиям телефонной связи (ст.23).</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xml:space="preserve">     Федеральный закон от 28 декабря 2010 г. N 390-ФЗ «О безопасности» (87)закрепляет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w:t>
      </w:r>
      <w:r w:rsidRPr="001A1254">
        <w:rPr>
          <w:rFonts w:ascii="Times New Roman" w:eastAsia="Times New Roman" w:hAnsi="Times New Roman" w:cs="Times New Roman"/>
          <w:color w:val="000000"/>
          <w:sz w:val="27"/>
          <w:szCs w:val="27"/>
          <w:lang w:eastAsia="ru-RU"/>
        </w:rPr>
        <w:lastRenderedPageBreak/>
        <w:t>финансирования органов обеспечения безопасности, а также контроля и надзора за законностью их деятельности.</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Закон определяет ключевые термины в области безопасности, которые применимы и для сферы информационной безопасности, принципы и систему безопасности, правовой статус и состав Совета Безопасности Российской Федерации.</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xml:space="preserve">    Федеральный закон от 27.07.2006, г., № 149-ФЗ «Об информации, информационных технологиях и о защите </w:t>
      </w:r>
      <w:proofErr w:type="gramStart"/>
      <w:r w:rsidRPr="001A1254">
        <w:rPr>
          <w:rFonts w:ascii="Times New Roman" w:eastAsia="Times New Roman" w:hAnsi="Times New Roman" w:cs="Times New Roman"/>
          <w:color w:val="000000"/>
          <w:sz w:val="27"/>
          <w:szCs w:val="27"/>
          <w:lang w:eastAsia="ru-RU"/>
        </w:rPr>
        <w:t>информации»(</w:t>
      </w:r>
      <w:proofErr w:type="gramEnd"/>
      <w:r w:rsidRPr="001A1254">
        <w:rPr>
          <w:rFonts w:ascii="Times New Roman" w:eastAsia="Times New Roman" w:hAnsi="Times New Roman" w:cs="Times New Roman"/>
          <w:color w:val="000000"/>
          <w:sz w:val="27"/>
          <w:szCs w:val="27"/>
          <w:lang w:eastAsia="ru-RU"/>
        </w:rPr>
        <w:t>88) фиксирует базовые нормы для всей системы информационного законодательства, в т.ч. правового обеспечения информационной безопасности. Они определяют основные термины и их определения, принципы правового регулирования отношений в сфере информации, информационных технологий и защиты информации (ст.3), классификацию информации по категориям доступа – общедоступную и ограниченного доступа (ст. 5), порядку ее предоставления или распространения (свободно распространяемую, обязательного предоставления или распространения, ограниченного распространения или запрещаемую для распространения вообще). Закон определяет базовые положения правового режима доступа к информации (ст.8) и его ограничения (ст.9), основные параметры правовых режимов распространения (ст.10) и документирования (ст.11) информации, информационных систем (ст.13), информационно-телекоммуникационных сетей (ст.15) и общие условия защиты информации (ст.16), информационных систем (ст.13) и использования информационных технологий, а также в общих чертах описывает ответственность за правонарушения в сфере информации, информационных технологий и защиты информации.</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Федеральный закон от 21 июня 1993 № 5485-1 «О государственной тайне», Федеральные законы от 29 июля 2004 № 98-ФЗ «О коммерческой тайне» и от 27.07.2006 г. № 152-ФЗ «О персональных данных» (89, 90, 91) устанавливают правовые режимы информации ограниченного доступа, в том числе, сведений, составляющих государственную и коммерческую тайну.</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Нормы названных законов на более конкретном уровне, чем норма ст.9 закона «Об информации» регулируют формирование условий правового режима доступа к сведениям конфиденциального характера, конкретизируют правовой статус субъектов отношений, возникающих по поводу тайн и персональных данных. Именно в названных законах содержатся основные запреты, ограничения и дозволения, которые составляют правовые основания для формулировок составов информационных правонарушений, направленных на интересы личности, общества и государства в области конфиденциальности информации.</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Федеральный закон от 6 апреля 2011 г. № 63-ФЗ «Об электронной подписи» (92</w:t>
      </w:r>
      <w:proofErr w:type="gramStart"/>
      <w:r w:rsidRPr="001A1254">
        <w:rPr>
          <w:rFonts w:ascii="Times New Roman" w:eastAsia="Times New Roman" w:hAnsi="Times New Roman" w:cs="Times New Roman"/>
          <w:color w:val="000000"/>
          <w:sz w:val="27"/>
          <w:szCs w:val="27"/>
          <w:lang w:eastAsia="ru-RU"/>
        </w:rPr>
        <w:t>).Нормы</w:t>
      </w:r>
      <w:proofErr w:type="gramEnd"/>
      <w:r w:rsidRPr="001A1254">
        <w:rPr>
          <w:rFonts w:ascii="Times New Roman" w:eastAsia="Times New Roman" w:hAnsi="Times New Roman" w:cs="Times New Roman"/>
          <w:color w:val="000000"/>
          <w:sz w:val="27"/>
          <w:szCs w:val="27"/>
          <w:lang w:eastAsia="ru-RU"/>
        </w:rPr>
        <w:t xml:space="preserve"> названного закона определяют правовой режим технологического обеспечения защиты информации в системе базовых законов информационного законодательства. В ст. 1 этого закона определена его цель –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В законе сформулированы функции электронной цифровой подписи: удостоверяющая, защитная и устанавливающая.</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Уголовный кодекс РФ в</w:t>
      </w:r>
      <w:r>
        <w:rPr>
          <w:rFonts w:ascii="Times New Roman" w:eastAsia="Times New Roman" w:hAnsi="Times New Roman" w:cs="Times New Roman"/>
          <w:color w:val="000000"/>
          <w:sz w:val="27"/>
          <w:szCs w:val="27"/>
          <w:lang w:eastAsia="ru-RU"/>
        </w:rPr>
        <w:t xml:space="preserve"> </w:t>
      </w:r>
      <w:r w:rsidRPr="001A1254">
        <w:rPr>
          <w:rFonts w:ascii="Times New Roman" w:eastAsia="Times New Roman" w:hAnsi="Times New Roman" w:cs="Times New Roman"/>
          <w:color w:val="000000"/>
          <w:sz w:val="27"/>
          <w:szCs w:val="27"/>
          <w:lang w:eastAsia="ru-RU"/>
        </w:rPr>
        <w:t>главе 28 Кодекса предусматривает ответственность за совершение преступлений в сфере компьютерной информации (ст.272-275). Всего в тексте Кодекса содержится более 50 отдельных статей, устанавливающих уголовную ответственность за нарушение установленных запретов в информационной сфере.</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lastRenderedPageBreak/>
        <w:t>    Трудовой кодекс РФ</w:t>
      </w:r>
      <w:r>
        <w:rPr>
          <w:rFonts w:ascii="Times New Roman" w:eastAsia="Times New Roman" w:hAnsi="Times New Roman" w:cs="Times New Roman"/>
          <w:color w:val="000000"/>
          <w:sz w:val="27"/>
          <w:szCs w:val="27"/>
          <w:lang w:eastAsia="ru-RU"/>
        </w:rPr>
        <w:t xml:space="preserve"> </w:t>
      </w:r>
      <w:r w:rsidRPr="001A1254">
        <w:rPr>
          <w:rFonts w:ascii="Times New Roman" w:eastAsia="Times New Roman" w:hAnsi="Times New Roman" w:cs="Times New Roman"/>
          <w:color w:val="000000"/>
          <w:sz w:val="27"/>
          <w:szCs w:val="27"/>
          <w:lang w:eastAsia="ru-RU"/>
        </w:rPr>
        <w:t>устанавливает</w:t>
      </w:r>
      <w:r>
        <w:rPr>
          <w:rFonts w:ascii="Times New Roman" w:eastAsia="Times New Roman" w:hAnsi="Times New Roman" w:cs="Times New Roman"/>
          <w:color w:val="000000"/>
          <w:sz w:val="27"/>
          <w:szCs w:val="27"/>
          <w:lang w:eastAsia="ru-RU"/>
        </w:rPr>
        <w:t xml:space="preserve"> </w:t>
      </w:r>
      <w:bookmarkStart w:id="0" w:name="_GoBack"/>
      <w:bookmarkEnd w:id="0"/>
      <w:r w:rsidRPr="001A1254">
        <w:rPr>
          <w:rFonts w:ascii="Times New Roman" w:eastAsia="Times New Roman" w:hAnsi="Times New Roman" w:cs="Times New Roman"/>
          <w:color w:val="000000"/>
          <w:sz w:val="27"/>
          <w:szCs w:val="27"/>
          <w:lang w:eastAsia="ru-RU"/>
        </w:rPr>
        <w:t>правовой режим персональных данных работника, определяет общие требования по их обработке и защите, устанавливает сроки хранения таких данных и процедуру их использования. В случаях нарушения норм, регулирующих получение, обработку и защиту персональных данных работника, виновные лица привлекаются к дисциплинарной, материальной, административной, гражданско-правовой и уголовной ответственности. Трудовой кодекс РФ определяет норму об ответственности за разглашение отдельных видов тайн и персональных данных.</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КоАП РФ в главе 13 определяет административную ответственность за правонарушения в области связи и информации посвящена отдельная глава (ст. 13.1-13.24). В него включены еще более 90 статей, в которых определяется ответственность за совершение проступков информационного характера. Так, например, устанавливается ответственность за отказ в предоставлении гражданину информации (ст. 5.39), за сокрытие или искажение экологической информации (ст. 8.5), за незаконные действия по получению и (или) распространению информации, составляющей кредитную историю (ст. 5.53).</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Имеется также массив нормативных правовых актов подзаконного характера, состоящий из большого количества документов, регулирующих отдельные направления правового обеспечения информационной безопасности.</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xml:space="preserve">    Указ Президента РФ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w:t>
      </w:r>
      <w:proofErr w:type="gramStart"/>
      <w:r w:rsidRPr="001A1254">
        <w:rPr>
          <w:rFonts w:ascii="Times New Roman" w:eastAsia="Times New Roman" w:hAnsi="Times New Roman" w:cs="Times New Roman"/>
          <w:color w:val="000000"/>
          <w:sz w:val="27"/>
          <w:szCs w:val="27"/>
          <w:lang w:eastAsia="ru-RU"/>
        </w:rPr>
        <w:t>обмена»(</w:t>
      </w:r>
      <w:proofErr w:type="gramEnd"/>
      <w:r w:rsidRPr="001A1254">
        <w:rPr>
          <w:rFonts w:ascii="Times New Roman" w:eastAsia="Times New Roman" w:hAnsi="Times New Roman" w:cs="Times New Roman"/>
          <w:color w:val="000000"/>
          <w:sz w:val="27"/>
          <w:szCs w:val="27"/>
          <w:lang w:eastAsia="ru-RU"/>
        </w:rPr>
        <w:t>93). В данном Указе устанавливается запрет подключения информационных систем, информационно-телекоммуникационных сетей и средств вычислительной техники, применяемых для хранения, обработки или передачи информации, содержащей сведения, составляющие государственную тайну к информационно-телекоммуникационным сетям международного информационного обмена. В целях защиты информации государственные органы обязаны использовать только средства защиты информации, прошедшие сертификацию в Федеральной службе безопасности Российской Федерации и (или) получившие подтверждение соответствия в Федеральной службе по техническому и экспортному контролю. Выполнение данных требований Указа в полной мере должно обеспечить защиту информации, составляющей государственную тайну.</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xml:space="preserve">    Приказом ФСО России от 07.08.2009 N </w:t>
      </w:r>
      <w:proofErr w:type="gramStart"/>
      <w:r w:rsidRPr="001A1254">
        <w:rPr>
          <w:rFonts w:ascii="Times New Roman" w:eastAsia="Times New Roman" w:hAnsi="Times New Roman" w:cs="Times New Roman"/>
          <w:color w:val="000000"/>
          <w:sz w:val="27"/>
          <w:szCs w:val="27"/>
          <w:lang w:eastAsia="ru-RU"/>
        </w:rPr>
        <w:t>487  утверждено</w:t>
      </w:r>
      <w:proofErr w:type="gramEnd"/>
      <w:r w:rsidRPr="001A1254">
        <w:rPr>
          <w:rFonts w:ascii="Times New Roman" w:eastAsia="Times New Roman" w:hAnsi="Times New Roman" w:cs="Times New Roman"/>
          <w:color w:val="000000"/>
          <w:sz w:val="27"/>
          <w:szCs w:val="27"/>
          <w:lang w:eastAsia="ru-RU"/>
        </w:rPr>
        <w:t>  Положение о сегменте информационно-телекоммуникационной сети Интернет(94) для федеральных органов государственной власти и органов государственной власти субъектов Российской Федерации.</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Эксплуатацию, поддержание и развитие сегмента информационно-телекоммуникационной сети Интернет для федеральных органов государственной власти и органов государственной власти субъектов Российской Федерации обеспечивает Служба специальной связи и информации ФСО России.</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В соответствии с названным нормативным правовым актом Сегмент сети Интернет – это находящаяся в ведении (эксплуатации) Федеральной службы охраны Российской Федерации (далее именуется – оператор сегмента сети Интернет) часть информационно-телекоммуникационной сети, связывающей информационные системы, информационно-телекоммуникационные сети различных государств посредством сетевых адресов информационно-телекоммуникационной сети Интернет (далее именуется – сеть Интернет).</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lastRenderedPageBreak/>
        <w:t>    Сегмент сети Интернет предназначен для обеспечения размещения информации о деятельности Администрации Президента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Правительства Российской Федерации, аппаратов Конституционного Суда Российской Федерации, Верховного Суда Российской Федерации, Высшего Арбитражного Суда Российской Федерации, Генеральной прокуратуры Российской Федерации и Следственного комитета при прокуратуре Российской Федерации, федеральных органов государственной власти и органов государственной власти субъектов Российской Федерации, а также для доступа к сети Интернет должностных лиц указанных государственных органов (далее именуются – пользователи сегмента сети Интернет).</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Функционирование сегмента сети Интернет обеспечивается путем применения стандартных протоколов сети Интернет и регламентов обмена информацией в порядке, определяемом оператором сегмента сети Интернет.</w:t>
      </w:r>
    </w:p>
    <w:p w:rsidR="001A1254" w:rsidRPr="001A1254" w:rsidRDefault="001A1254" w:rsidP="001A1254">
      <w:pPr>
        <w:shd w:val="clear" w:color="auto" w:fill="F5F5F5"/>
        <w:spacing w:after="150" w:line="240" w:lineRule="auto"/>
        <w:rPr>
          <w:rFonts w:ascii="Arial" w:eastAsia="Times New Roman" w:hAnsi="Arial" w:cs="Arial"/>
          <w:color w:val="000000"/>
          <w:sz w:val="20"/>
          <w:szCs w:val="20"/>
          <w:lang w:eastAsia="ru-RU"/>
        </w:rPr>
      </w:pPr>
      <w:r w:rsidRPr="001A1254">
        <w:rPr>
          <w:rFonts w:ascii="Times New Roman" w:eastAsia="Times New Roman" w:hAnsi="Times New Roman" w:cs="Times New Roman"/>
          <w:color w:val="000000"/>
          <w:sz w:val="27"/>
          <w:szCs w:val="27"/>
          <w:lang w:eastAsia="ru-RU"/>
        </w:rPr>
        <w:t>    В российском правовом пространстве длительное время в обороте используется «служебная информация ограниченного распространения» о деятельности органов государственной власти, которая нередко упоминается в нормативных правовых актах как «служебная тайна». Постановление Правительства РФ № 1233 от 3 ноября 1994 г. «Об утверждении Положения о порядке обращения со служебной информацией ограниченного распространения в федеральных органах государственной власти» (95) определяется правовое положение информации ограниченного доступа, несмотря на то, что п.п.1 и 4 ст.9 ФЗ «Об информации» ограничение доступа к информации и, в частности, отнесение информации к сведениям, составляющим служебную тайну, устанавливаются исключительно федеральными законами. Явное несовершенство информационного законодательства и практики его применения отрицательно влияет на состояние правовой защиты интересов субъектов правоотношений. Пробел в нормативных правовых актах, устанавливающих оборот информации служебного характера, не позволяет установить запрет либо ограничения на ее использование, а вместе с этим создает ситуацию невозможности установить административную и / или уголовную ответственность за нарушения порядка распространения этой важной формы информации.</w:t>
      </w:r>
    </w:p>
    <w:p w:rsidR="003B409D" w:rsidRDefault="003B409D"/>
    <w:sectPr w:rsidR="003B409D" w:rsidSect="001A1254">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744FB"/>
    <w:multiLevelType w:val="multilevel"/>
    <w:tmpl w:val="2B9A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54"/>
    <w:rsid w:val="001A1254"/>
    <w:rsid w:val="003B4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134C"/>
  <w15:chartTrackingRefBased/>
  <w15:docId w15:val="{E6D03FBC-2241-413C-B267-23EA7FAE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1254"/>
    <w:rPr>
      <w:color w:val="0000FF"/>
      <w:u w:val="single"/>
    </w:rPr>
  </w:style>
  <w:style w:type="paragraph" w:styleId="a4">
    <w:name w:val="Normal (Web)"/>
    <w:basedOn w:val="a"/>
    <w:uiPriority w:val="99"/>
    <w:semiHidden/>
    <w:unhideWhenUsed/>
    <w:rsid w:val="001A12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0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30.edusite.ru/DswMedia/order_161_mincomsvyaz_16_06_201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617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61801/" TargetMode="External"/><Relationship Id="rId11" Type="http://schemas.openxmlformats.org/officeDocument/2006/relationships/hyperlink" Target="https://asb-scool-18.edusite.ru/DswMedia/3257-mouo-pou-pospisku-ivonina.pdf" TargetMode="External"/><Relationship Id="rId5" Type="http://schemas.openxmlformats.org/officeDocument/2006/relationships/hyperlink" Target="http://www.consultant.ru/document/cons_doc_LAW_108808/" TargetMode="External"/><Relationship Id="rId10" Type="http://schemas.openxmlformats.org/officeDocument/2006/relationships/hyperlink" Target="http://shko-30.edusite.ru/DswMedia/letter_minobrnauki_14_05_2018_n_08-1184.pdf" TargetMode="External"/><Relationship Id="rId4" Type="http://schemas.openxmlformats.org/officeDocument/2006/relationships/webSettings" Target="webSettings.xml"/><Relationship Id="rId9" Type="http://schemas.openxmlformats.org/officeDocument/2006/relationships/hyperlink" Target="http://shko-30.edusite.ru/DswMedia/letter_minobrnauki_28_04_2014_dl-1150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1926</Words>
  <Characters>10981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2025-03-05T09:32:00Z</dcterms:created>
  <dcterms:modified xsi:type="dcterms:W3CDTF">2025-03-05T09:34:00Z</dcterms:modified>
</cp:coreProperties>
</file>